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67 AGSG (Bayern) — Amtliche Beglaubigungen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Zur amtlichen Beglaubigung von</w:t>
      </w:r>
    </w:p>
    <w:p>
      <w:r>
        <w:t xml:space="preserve">1. Abschriften nach § 29 Abs. 1 Satz 2 und Unterlagen im Sinn von § 29 Abs. 4 des Zehnten Buches Sozialgesetzbuch (SGB X) und</w:t>
      </w:r>
    </w:p>
    <w:p>
      <w:r>
        <w:t xml:space="preserve">2. Unterschriften und Handzeichen nach § 30 Abs. 1 Satz 1 und Abs. 4 SGB X</w:t>
      </w:r>
    </w:p>
    <w:p>
      <w:r>
        <w:t xml:space="preserve">sind die Behörden des Freistaates Bayern, der Gemeinden und der Gemeindeverbände und der sonstigen der Aufsicht des Freistaates Bayern unterstehenden juristischen Personen des öffentlichen Rechts befugt, soweit sie eine öffentlich-rechtliche Verwaltungstätigkeit nach dem Sozialgesetzbuch ausüben (§ 1 Abs. 1 Satz 1 SGB X).</w:t>
      </w:r>
    </w:p>
    <w:p>
      <w:r>
        <w:rPr>
          <w:color w:val="555555"/>
          <w:sz w:val="17"/>
        </w:rPr>
        <w:t xml:space="preserve">Zitiervorschlag: Art 67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