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66e AGSG (Bayern) — Heranziehung von Landkreisen und kreisfreien Städten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Träger der Eingliederungshilfe können durch Rechtsverordnung die Landkreise und die kreisfreien Städte hinsichtlich der Erbringung von Leistungen zur medizinischen Rehabilitation nach Teil 2 Kapitel 3 SGB IX zur Durchführung und Entscheidung heranziehen. Ausgenommen sind Leistungen in Fachkrankenhäusern für Menschen mit Behinderung und in psychiatrischen Fachkrankenhäusern, Fachabteilungen oder Spezialeinrichtungen. Wird im Fall des Satz 1 eine Leistung an einem Ort zur medizinischen Rehabilitation im Sinn des § 71 Abs. 4 Nr. 1 SGB XI erbracht, umfasst die sachliche Zuständigkeit auch die Leistungen nach dem Zwölften Buch Sozialgesetzbuch (SGB XII), die gleichzeitig zu erbringen sind, sowie eine Leistung nach § 74 SGB XII. Art. 83 Abs. 3 Satz 3, 4, Abs. 4 und Art. 86 Abs. 2 gelten entsprechend.</w:t>
      </w:r>
    </w:p>
    <w:p>
      <w:r>
        <w:rPr>
          <w:color w:val="555555"/>
          <w:sz w:val="17"/>
        </w:rPr>
        <w:t xml:space="preserve">Zitiervorschlag: Art 66e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