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66b AGSG (Bayern) — Abweichendes Landesrecht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Abweichend von § 46 Abs. 5 Satz 1 SGB IX können die beteiligten Rehabilitationsträger und Verbände der Leistungserbringer bei Entgelten für Komplexleistungen in interdisziplinären Frühförderstellen Einzelleistungsvergütungen vereinbaren.</w:t>
      </w:r>
    </w:p>
    <w:p>
      <w:r>
        <w:t xml:space="preserve">(2) Abweichend von § 128 Abs. 1 Satz 1 SGB IX kann eine Prüfung der Qualität einschließlich der Wirksamkeit der vereinbarten Leistungen auch ohne tatsächliche Anhaltspunkte für eine Verletzung vertraglicher oder gesetzlicher Pflichten durchgeführt werden.</w:t>
      </w:r>
    </w:p>
    <w:p>
      <w:r>
        <w:rPr>
          <w:color w:val="555555"/>
          <w:sz w:val="17"/>
        </w:rPr>
        <w:t xml:space="preserve">Zitiervorschlag: Art 66b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