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66 AGSG (Bayern) — Ordnungswidrigkeiten</w:t>
      </w:r>
    </w:p>
    <w:p>
      <w:r>
        <w:rPr>
          <w:color w:val="555555"/>
          <w:sz w:val="18"/>
        </w:rPr>
        <w:t xml:space="preserve">Gesetz zur Ausführung der Sozialgesetze BayRS 86-7-A/G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Mit Geldbuße kann belegt werden, wer entgegen</w:t>
      </w:r>
    </w:p>
    <w:p>
      <w:r>
        <w:t xml:space="preserve">1. einer vollziehbaren Anordnung nach Art. 39 Pflegestellen vermittelt,</w:t>
      </w:r>
    </w:p>
    <w:p>
      <w:r>
        <w:t xml:space="preserve">2. einer vollziehbaren Anordnung nach Art. 40 ein Kind oder einen Jugendlichen oder eine Jugendliche in seiner Familie regelmäßig betreut oder ihm oder ihr Unterkunft gewährt.</w:t>
      </w:r>
    </w:p>
    <w:p>
      <w:r>
        <w:rPr>
          <w:color w:val="555555"/>
          <w:sz w:val="17"/>
        </w:rPr>
        <w:t xml:space="preserve">Zitiervorschlag: Art 66 AGSG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https://recht.nulegal.eu/gesetze/AGSG/66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