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50 AGSG (Bayern) — Geltendmachung des Kostenbeitrags</w:t>
      </w:r>
    </w:p>
    <w:p>
      <w:r>
        <w:rPr>
          <w:color w:val="555555"/>
          <w:sz w:val="18"/>
        </w:rPr>
        <w:t xml:space="preserve">Gesetz zur Ausführung der Sozialgesetze BayRS 86-7-A/G</w:t>
      </w:r>
    </w:p>
    <w:p>
      <w:r>
        <w:rPr>
          <w:color w:val="555555"/>
          <w:sz w:val="18"/>
        </w:rPr>
        <w:t xml:space="preserve">Landesrecht Bayern</w:t>
      </w:r>
    </w:p>
    <w:p>
      <w:r>
        <w:rPr>
          <w:color w:val="555555"/>
          <w:sz w:val="18"/>
        </w:rPr>
        <w:t xml:space="preserve">Stand: 25.08.2026 (konsolidierte Textfassung, kein amtliches Inkrafttretensdatum)</w:t>
      </w:r>
    </w:p>
    <w:p>
      <w:r>
        <w:t xml:space="preserve">Besteht der Kostenbeitrag nach den §§ 91 ff. SGB VIII in regelmäßig wiederkehrenden Leistungen, so kann der öffentliche Träger der Jugendhilfe im Leistungsbescheid auch künftig fällig werdende Ansprüche geltend machen. Zugleich mit der Pfändung fälliger Ansprüche kann auch künftig fällig werdendes Arbeitseinkommen wegen der dann jeweils fällig werdenden Ansprüche gepfändet und überwiesen werden.</w:t>
      </w:r>
    </w:p>
    <w:p>
      <w:r>
        <w:rPr>
          <w:color w:val="555555"/>
          <w:sz w:val="17"/>
        </w:rPr>
        <w:t xml:space="preserve">Zitiervorschlag: Art 50 AGSG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https://recht.nulegal.eu/gesetze/AGSG/50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50 AGSG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