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45a AGSG (Bayern) — Geltendmachung des Rechtsanspruchs auf Förderung in einer Tageseinrichtung oder in Kindertagespflege bis zum Schuleintritt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Anspruch nach § 24 Abs. 2 und 3 SGB VIII ist beim örtlichen Träger der öffentlichen Jugendhilfe grundsätzlich mindestens drei Monate vor der beabsichtigten Inanspruchnahme der Leistung nach § 24 Abs. 2 und 3 SGB VIII geltend zu machen.</w:t>
      </w:r>
    </w:p>
    <w:p>
      <w:r>
        <w:rPr>
          <w:color w:val="555555"/>
          <w:sz w:val="17"/>
        </w:rPr>
        <w:t xml:space="preserve">Zitiervorschlag: Art 45a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https://recht.nulegal.eu/gesetze/AGSG/45a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