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44 AGSG (Bayern) — Rechtsverordnung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Staatsregierung kann durch Rechtsverordnung die Mindestvoraussetzungen festlegen, die erfüllt sein müssen, damit das Wohl von Kindern und Jugendlichen in nach § 45 SGB VIII erlaubnispflichtigen Einrichtungen oder in sonstigen Wohnformen im Sinn des § 48a SGB VIII gewährleistet ist.</w:t>
      </w:r>
    </w:p>
    <w:p>
      <w:r>
        <w:rPr>
          <w:color w:val="555555"/>
          <w:sz w:val="17"/>
        </w:rPr>
        <w:t xml:space="preserve">Zitiervorschlag: Art 44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https://recht.nulegal.eu/gesetze/AGSG/44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