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43 AGSG (Bayern) — Vollzeitpflege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Zuständige Behörden für die Festsetzung der Pauschalbeträge nach § 39 Abs. 5 Satz 1 und nach § 41 Abs. 2 in Verbindung mit § 39 Abs. 5 Satz 1 SGB VIII sind die Jugendämter.</w:t>
      </w:r>
    </w:p>
    <w:p>
      <w:r>
        <w:t xml:space="preserve">(2) Art. 42 Abs. 4 gilt entsprechend.</w:t>
      </w:r>
    </w:p>
    <w:p>
      <w:r>
        <w:rPr>
          <w:color w:val="555555"/>
          <w:sz w:val="17"/>
        </w:rPr>
        <w:t xml:space="preserve">Zitiervorschlag: Art 43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https://recht.nulegal.eu/gesetze/AGSG/43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