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35 AGSG (Bayern) — Versagungsgründe</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Die Pflegeerlaubnis nach § 44 Abs. 1 SGB VIII ist zu versagen, wenn das Wohl des Kindes oder des oder der Jugendlichen in der Pflegestelle nicht gewährleistet ist. Sie ist insbesondere zu versagen, wenn</w:t>
      </w:r>
    </w:p>
    <w:p>
      <w:r>
        <w:t xml:space="preserve">1. eine Pflegeperson nicht über ausreichende erzieherische Fähigkeiten verfügt, die dem Entwicklungsstand und den jeweiligen erzieherischen Bedürfnissen des Kindes oder des oder der Jugendlichen gerecht werden,</w:t>
      </w:r>
    </w:p>
    <w:p>
      <w:r>
        <w:t xml:space="preserve">2. die Aufnahme des Pflegekindes nicht mit dem Wohl aller in der Familie einer Pflegeperson lebender Kinder und Jugendlicher vereinbar oder eine Pflegeperson mit der Betreuung eines weiteren Kindes oder eines oder einer weiteren Jugendlichen überfordert ist; davon ist in der Regel auszugehen, wenn sich bereits drei Pflegekinder in der Pflegestelle befinden,</w:t>
      </w:r>
    </w:p>
    <w:p>
      <w:r>
        <w:t xml:space="preserve">3. eine Pflegeperson nicht die Gewähr dafür bietet, dass die von den Personensorgeberechtigten bestimmte Grundrichtung der Erziehung einschließlich der religiösen oder weltanschaulichen Erziehung beachtet wird,</w:t>
      </w:r>
    </w:p>
    <w:p>
      <w:r>
        <w:t xml:space="preserve">4. Anhaltspunkte bestehen, dass eine Pflegeperson oder eine in ihrem Haushalt lebende Person das sittliche Wohl des Kindes oder des oder der Jugendlichen gefährden könnte,</w:t>
      </w:r>
    </w:p>
    <w:p>
      <w:r>
        <w:t xml:space="preserve">5. die wirtschaftlichen Verhältnisse einer Pflegeperson und ihre Haushaltsführung offensichtlich nicht geordnet sind,</w:t>
      </w:r>
    </w:p>
    <w:p>
      <w:r>
        <w:t xml:space="preserve">6. eine Pflegeperson oder die in ihrem Haushalt lebenden Personen an einer Krankheit leiden, die das Wohl des Kindes oder des oder der Jugendlichen nicht nur unerheblich gefährdet, oder</w:t>
      </w:r>
    </w:p>
    <w:p>
      <w:r>
        <w:t xml:space="preserve">7. nicht ausreichender Wohnraum für die Kinder oder Jugendlichen und die im Haushalt lebenden Personen vorhanden ist.</w:t>
      </w:r>
    </w:p>
    <w:p>
      <w:r>
        <w:rPr>
          <w:color w:val="555555"/>
          <w:sz w:val="17"/>
        </w:rPr>
        <w:t xml:space="preserve">Zitiervorschlag: Art 35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