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22 AGSG (Bayern) — Amtsperiode des Jugendhilfeausschusses, Dauer der Mitgliedschaft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Jugendhilfeausschuss ist spätestens binnen drei Monaten nach Beginn der Wahlzeit des Gemeinderats oder des Kreistags neu zu bilden. Mit der Neubildung endet die Amtsperiode des bisherigen Jugendhilfeausschusses.</w:t>
      </w:r>
    </w:p>
    <w:p>
      <w:r>
        <w:t xml:space="preserve">(2) Die Mitgliedschaft im Jugendhilfeausschuss endet</w:t>
      </w:r>
    </w:p>
    <w:p>
      <w:r>
        <w:t xml:space="preserve">1. mit der Neubildung eines Jugendhilfeausschusses,</w:t>
      </w:r>
    </w:p>
    <w:p>
      <w:r>
        <w:t xml:space="preserve">2. wenn ein stimmberechtigtes Mitglied die Voraussetzungen für die Wählbarkeit nach Art. 21 Abs. 1 nicht mehr erfüllt,</w:t>
      </w:r>
    </w:p>
    <w:p>
      <w:r>
        <w:t xml:space="preserve">3. wenn das Amt oder Mandat endet, auf Grund dessen das Mitglied dem Jugendhilfeausschuss angehört,</w:t>
      </w:r>
    </w:p>
    <w:p>
      <w:r>
        <w:t xml:space="preserve">4. wenn das Mitglied von der Stelle, die es vorgeschlagen hat, abberufen wird oder</w:t>
      </w:r>
    </w:p>
    <w:p>
      <w:r>
        <w:t xml:space="preserve">5. wenn das Mitglied aus wichtigem Grund seinen Rücktritt erklärt; ob ein wichtiger Grund vorliegt, entscheidet der Jugendhilfeausschuss.</w:t>
      </w:r>
    </w:p>
    <w:p>
      <w:r>
        <w:t xml:space="preserve">(3) Scheidet ein stimmberechtigtes Mitglied, das nicht der Vertretungskörperschaft angehört, vor Ablauf der Wahlzeit aus, so ist ein Ersatzmitglied zu wählen; dabei sollen Vorschläge der Stelle, die das ausgeschiedene Mitglied vorgeschlagen hatte, vorrangig berücksichtigt werden. Art. 18 Abs. 2 gilt entsprechend. Für beratende Mitglieder gilt Art. 19 Abs. 2.</w:t>
      </w:r>
    </w:p>
    <w:p>
      <w:r>
        <w:rPr>
          <w:color w:val="555555"/>
          <w:sz w:val="17"/>
        </w:rPr>
        <w:t xml:space="preserve">Zitiervorschlag: Art 22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https://recht.nulegal.eu/gesetze/AGSG/22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