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AGSG (Bayern) — Zuständigkeit, Wirkungskreis, Aufsicht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kreisfreien Gemeinden und die Landkreise nehmen die ihnen nach dem Zweiten Buch Sozialgesetzbuch (SGB II) obliegenden Aufgaben als Angelegenheit des übertragenen Wirkungskreises wahr.</w:t>
      </w:r>
    </w:p>
    <w:p>
      <w:r>
        <w:t xml:space="preserve">(2) Die Fachaufsicht über die Träger nach Abs. 1 obliegt den Regierungen. Das Staatsministerium für Familie, Arbeit und Soziales (Staatsministerium) ist obere Fachaufsichtsbehörde.</w:t>
      </w:r>
    </w:p>
    <w:p>
      <w:r>
        <w:t xml:space="preserve">(3) Die Bezirke sind gegenüber den zuständigen Landkreisen und kreisfreien Gemeinden verpflichtet sicherzustellen, dass Suchtberatung gemäß § 16a Nr. 4 SGB II angeboten werden kann; sie tragen gegenüber den zuständigen Landkreisen und kreisfreien Gemeinden die entstehenden Kosten.</w:t>
      </w:r>
    </w:p>
    <w:p>
      <w:r>
        <w:t xml:space="preserve">(4) Zuständige oberste Landesbehörde im Sinn des Zweiten Buches Sozialgesetzbuch ist das Staatsministerium. Die kreisfreien Gemeinden und die Landkreise stellen, soweit sie kommunale Träger im Sinn des § 6 Abs. 1 Nr. 2 SGB II sind, sicher, dass die Organe der örtlichen und überörtlichen Rechnungsprüfung das Recht haben, gemeinsame Einrichtungen (§ 44b SGB II) zu prüfen (Art. 106 der Gemeindeordnung – GO, Art. 92 der Landkreisordnung – LKrO), soweit Angelegenheiten betroffen sind, in denen den kommunalen Trägern ein Weisungsrecht nach § 44b Abs. 3 SGB II zusteht.</w:t>
      </w:r>
    </w:p>
    <w:p>
      <w:r>
        <w:rPr>
          <w:color w:val="555555"/>
          <w:sz w:val="17"/>
        </w:rPr>
        <w:t xml:space="preserve">Zitiervorschlag: Art 2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