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17 AGSG (Bayern) — Jugendhilfeausschuss als beschließender Ausschuss, Vorsitz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Jugendhilfeausschuss ist ein beschließender Ausschuss des Gemeinderats oder des Kreistags.</w:t>
      </w:r>
    </w:p>
    <w:p>
      <w:r>
        <w:t xml:space="preserve">(2) Art. 32 Abs. 5, Art. 33 Abs. 1 Satz 1 GO und Art. 29 Abs. 1 Satz 2 und Abs. 2 LKrO sind nicht anzuwenden. Art. 33 Abs. 1 Satz 2 und 5 GO und Art. 27 Abs. 2 und 3 LKrO gelten nur für die aus der Mitte des Gemeinderats oder des Kreistags entsandten Mitglieder des Jugendhilfeausschusses. Die Satzung nach Art. 16 Abs. 2 kann bestimmen, dass die Wahl der stimmberechtigten Mitglieder des Jugendhilfeausschusses abweichend von Art. 51 Abs. 3 Satz 1 und Abs. 4 GO und von Art. 45 Abs. 3 Satz 1 und Abs. 4 LKrO in offener Abstimmung erfolgt.</w:t>
      </w:r>
    </w:p>
    <w:p>
      <w:r>
        <w:t xml:space="preserve">(3) Den Vorsitz im Jugendhilfeausschuss führt der Oberbürgermeister oder die Oberbürgermeisterin oder der Landrat oder die Landrätin oder ein von ihm oder ihr bestimmtes Mitglied der Vertretungskörperschaft. Art. 33 Abs. 2 und Art. 39 Abs. 1 GO und Art. 33 Satz 1 und 3 LKrO sind nicht anzuwenden. Der oder die Vorsitzende ist stimmberechtigtes Mitglied im Sinn des § 71 Abs. 1 Nr. 1 SGB VIII.</w:t>
      </w:r>
    </w:p>
    <w:p>
      <w:r>
        <w:t xml:space="preserve">(4) Der Jugendhilfeausschuss gibt sich eine Geschäftsordnung.</w:t>
      </w:r>
    </w:p>
    <w:p>
      <w:r>
        <w:rPr>
          <w:color w:val="555555"/>
          <w:sz w:val="17"/>
        </w:rPr>
        <w:t xml:space="preserve">Zitiervorschlag: Art 17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https://recht.nulegal.eu/gesetze/AGSG/17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