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122 AGSG (Bayern) — Inkrafttreten, Außerkrafttreten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Dieses Gesetz tritt am 1. Januar 2007 in Kraft.</w:t>
      </w:r>
    </w:p>
    <w:p>
      <w:r>
        <w:t xml:space="preserve">(2) Mit Ablauf des 31. Dezember 2026 treten</w:t>
      </w:r>
    </w:p>
    <w:p>
      <w:r>
        <w:t xml:space="preserve">1. Art. 118 und</w:t>
      </w:r>
    </w:p>
    <w:p>
      <w:r>
        <w:t xml:space="preserve">2. die Anlage</w:t>
      </w:r>
    </w:p>
    <w:p>
      <w:r>
        <w:t xml:space="preserve">außer Kraft.</w:t>
      </w:r>
    </w:p>
    <w:p>
      <w:r>
        <w:rPr>
          <w:color w:val="555555"/>
          <w:sz w:val="17"/>
        </w:rPr>
        <w:t xml:space="preserve">Zitiervorschlag: Art 122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