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110 AGSG (Bayern) — Kostenerstattung bei Schwangerschaftsabbrüchen in besonderen Fällen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Staatsregierung wird ermächtigt, die Durchführung der Erstattung der Kosten, die den gesetzlichen Krankenkassen durch Abschnitt 5 des Schwangerschaftskonfliktgesetzes (SchKG) entstehen, durch Rechtsverordnung zu regeln. Zuständig für den Vollzug des § 22 Satz 1 SchKG ist das Zentrum Bayern Familie und Soziales.</w:t>
      </w:r>
    </w:p>
    <w:p>
      <w:r>
        <w:rPr>
          <w:color w:val="555555"/>
          <w:sz w:val="17"/>
        </w:rPr>
        <w:t xml:space="preserve">Zitiervorschlag: Art 110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