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AGPsychPbG (Brandenburg) — Nebenbestimmungen</w:t>
      </w:r>
    </w:p>
    <w:p>
      <w:r>
        <w:rPr>
          <w:color w:val="555555"/>
          <w:sz w:val="18"/>
        </w:rPr>
        <w:t xml:space="preserve">Gesetz zur Ausführung des Gesetzes über die psychosoziale Prozessbegleitung im Strafverfahren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Anerkennung nach § 1 ist auf höchstens fünf Jahre zu befristen. Im Falle einer gerichtlichen Beiordnung gilt die Anerkennung nach § 1 auch nach Ablauf der in Satz 1 bestimmten Frist für das Verfahren fort, in dem die Beiordnung erfolgt ist. Eine erneute Anerkennung nach Ablauf einer Befristung ist auf Antrag unter den Voraussetzungen des § 1 möglich.</w:t>
      </w:r>
    </w:p>
    <w:p>
      <w:r>
        <w:t xml:space="preserve">(2) Die Anerkennungen nach den §§ 1 und 2 können mit Nebenbestimmungen gemäß § 36 des Verwaltungsverfahrensgesetzes in Verbindung mit § 1 Absatz 1 Satz 1 des Verwaltungsverfahrensgesetzes für das Land Brandenburg versehen werden. Die nachträgliche Aufnahme, Änderung oder Ergänzung von Nebenbestimmungen ist zulässig, sofern dies zur Einhaltung der Anforderungen an die psychosoziale Prozessbegleitung erforderlich ist.</w:t>
      </w:r>
    </w:p>
    <w:p>
      <w:r>
        <w:rPr>
          <w:color w:val="555555"/>
          <w:sz w:val="17"/>
        </w:rPr>
        <w:t xml:space="preserve">Zitiervorschlag: § 5 AGPsychPbG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https://recht.nulegal.eu/gesetze/AGPsychPbG/5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