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AGPsychPbG (Brandenburg) — Inkrafttreten</w:t>
      </w:r>
    </w:p>
    <w:p>
      <w:r>
        <w:rPr>
          <w:color w:val="555555"/>
          <w:sz w:val="18"/>
        </w:rPr>
        <w:t xml:space="preserve">Gesetz zur Ausführung des Gesetzes über die psychosoziale Prozessbegleitung im Strafverfahren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tritt am 1. Januar 2017 in Kraft.</w:t>
      </w:r>
    </w:p>
    <w:p>
      <w:r>
        <w:t xml:space="preserve">Potsdam, den 20. Dezember 2016</w:t>
      </w:r>
    </w:p>
    <w:p>
      <w:r>
        <w:t xml:space="preserve">Die Präsidentin</w:t>
      </w:r>
    </w:p>
    <w:p>
      <w:r>
        <w:t xml:space="preserve">des Landtages Brandenburg</w:t>
      </w:r>
    </w:p>
    <w:p>
      <w:r>
        <w:t xml:space="preserve">Britta Stark</w:t>
      </w:r>
    </w:p>
    <w:p>
      <w:r>
        <w:rPr>
          <w:color w:val="555555"/>
          <w:sz w:val="17"/>
        </w:rPr>
        <w:t xml:space="preserve">Zitiervorschlag: § 12 AGPsychPbG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https://recht.nulegal.eu/gesetze/AGPsychPbG/12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