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AGOZV 2018 — Begriffsbestimmungen</w:t>
      </w:r>
    </w:p>
    <w:p>
      <w:r>
        <w:rPr>
          <w:color w:val="555555"/>
          <w:sz w:val="18"/>
        </w:rPr>
        <w:t xml:space="preserve">Anbaumaterialverordnung</w:t>
      </w:r>
    </w:p>
    <w:p>
      <w:r>
        <w:rPr>
          <w:color w:val="555555"/>
          <w:sz w:val="18"/>
        </w:rPr>
        <w:t xml:space="preserve">Stand: 09.12.2020 (konsolidierte Textfassung, kein amtliches Inkrafttretensdatum)</w:t>
      </w:r>
    </w:p>
    <w:p>
      <w:r>
        <w:t xml:space="preserve">Im Anwendungsbereich dieser Verordnung gelten folgende Begriffsbestimmungen:</w:t>
      </w:r>
    </w:p>
    <w:p>
      <w:pPr>
        <w:ind w:left="420"/>
      </w:pPr>
      <w:r>
        <w:t xml:space="preserve">1. Anbaumaterial, auch Vermehrungsmaterial nach § 2 Absatz 1 Nummer 1a des Saatgutverkehrsgesetzes: Standardmaterial oder anerkanntes Material</w:t>
      </w:r>
    </w:p>
    <w:p>
      <w:pPr>
        <w:ind w:left="780"/>
      </w:pPr>
      <w:r>
        <w:t xml:space="preserve">a) der in Anlage 1 aufgeführten Zierpflanzenarten, das zur Erzeugung von Pflanzen zu gewerblichen Zwecken bestimmt ist;</w:t>
      </w:r>
    </w:p>
    <w:p>
      <w:pPr>
        <w:ind w:left="780"/>
      </w:pPr>
      <w:r>
        <w:t xml:space="preserve">b) der in Anlage 1 aufgeführten Obstarten zur Fruchterzeugung sowie Gemüsearten, das entweder zur Erzeugung von Pflanzen zu gewerblichen Zwecken oder sonst zum Anbau bestimmt ist;</w:t>
      </w:r>
    </w:p>
    <w:p>
      <w:pPr>
        <w:ind w:left="780"/>
      </w:pPr>
      <w:r>
        <w:t xml:space="preserve">c) anderer Arten, sofern es zur Veredelung mit den in Anlage 1 aufgeführten Pflanzenarten bestimmt ist;</w:t>
      </w:r>
    </w:p>
    <w:p>
      <w:pPr>
        <w:ind w:left="420"/>
      </w:pPr>
      <w:r>
        <w:t xml:space="preserve">2. Standardmaterial:Anbaumaterial, das die Mindestanforderungen erfüllt; dazu zählt auch Conformitas Agraria Communitatis-Material (CAC-Material) von Obstarten zur Fruchterzeugung;</w:t>
      </w:r>
    </w:p>
    <w:p>
      <w:pPr>
        <w:ind w:left="420"/>
      </w:pPr>
      <w:r>
        <w:t xml:space="preserve">3. anerkanntes Anbaumaterial von Obstarten zur Fruchterzeugung:</w:t>
      </w:r>
    </w:p>
    <w:p>
      <w:pPr>
        <w:ind w:left="780"/>
      </w:pPr>
      <w:r>
        <w:t xml:space="preserve">a) Vorstufenmaterial:Anbaumaterial, das von einer dem Basismaterial vorhergehenden Vermehrungsstufe gewonnen worden und amtlich anerkannt ist;</w:t>
      </w:r>
    </w:p>
    <w:p>
      <w:pPr>
        <w:ind w:left="780"/>
      </w:pPr>
      <w:r>
        <w:t xml:space="preserve">b) Basismaterial:Anbaumaterial, das aus Vorstufenmaterial gewonnen worden und amtlich anerkannt ist;</w:t>
      </w:r>
    </w:p>
    <w:p>
      <w:pPr>
        <w:ind w:left="780"/>
      </w:pPr>
      <w:r>
        <w:t xml:space="preserve">c) Zertifiziertes Material:Anbaumaterial, das aus Basismaterial, Vorstufenmaterial oder aus Zertifiziertem Material zur Erzeugung von Anbaumaterial gewonnen worden und amtlich anerkannt ist;</w:t>
      </w:r>
    </w:p>
    <w:p>
      <w:pPr>
        <w:ind w:left="420"/>
      </w:pPr>
      <w:r>
        <w:t xml:space="preserve">4. Kategorien:Standardmaterial, Vorstufenmaterial, Basismaterial oder Zertifiziertes Material;</w:t>
      </w:r>
    </w:p>
    <w:p>
      <w:pPr>
        <w:ind w:left="420"/>
      </w:pPr>
      <w:r>
        <w:t xml:space="preserve">5. Mutterpflanze:eine Pflanze, die zur Erzeugung von Nachkommen bestimmt ist;</w:t>
      </w:r>
    </w:p>
    <w:p>
      <w:pPr>
        <w:ind w:left="420"/>
      </w:pPr>
      <w:r>
        <w:t xml:space="preserve">6. Kandidatenmutterpflanze:eine Mutterpflanze, die dazu bestimmt ist, Mutterpflanze für Vorstufenmaterial zu werden;</w:t>
      </w:r>
    </w:p>
    <w:p>
      <w:pPr>
        <w:ind w:left="420"/>
      </w:pPr>
      <w:r>
        <w:t xml:space="preserve">7. Erneuerung:das Ersetzen einer Mutterpflanze durch eine vegetativ aus ihr gewonnenen Pflanze;</w:t>
      </w:r>
    </w:p>
    <w:p>
      <w:pPr>
        <w:ind w:left="420"/>
      </w:pPr>
      <w:r>
        <w:t xml:space="preserve">8. Multiplikation:die vegetative Erzeugung von Mutterpflanzen zum Zweck der Erzeugung einer ausreichenden Zahl von Mutterpflanzen derselben Kategorie;</w:t>
      </w:r>
    </w:p>
    <w:p>
      <w:pPr>
        <w:ind w:left="420"/>
      </w:pPr>
      <w:r>
        <w:t xml:space="preserve">9. Mikrovermehrung:die Multiplikation von Pflanzenmaterial zur Erzeugung einer Vielzahl von Pflanzen mit Hilfe einer In-vitro-Kultur aus ausdifferenzierten vegetativen Knospen beziehungsweise ausdifferenzierten vegetativen Meristemen einer Pflanze;</w:t>
      </w:r>
    </w:p>
    <w:p>
      <w:pPr>
        <w:ind w:left="420"/>
      </w:pPr>
      <w:r>
        <w:t xml:space="preserve">10. Klon:eine genetisch einheitliche vegetative Nachkommenschaft einer einzigen Pflanze einer Obstart;</w:t>
      </w:r>
    </w:p>
    <w:p>
      <w:pPr>
        <w:ind w:left="420"/>
      </w:pPr>
      <w:r>
        <w:t xml:space="preserve">11. visuelle Kontrolle:die Überprüfung von Pflanzen oder Pflanzenteilen mit bloßem Auge, Linse, Stereoskop oder Mikroskop;</w:t>
      </w:r>
    </w:p>
    <w:p>
      <w:pPr>
        <w:ind w:left="420"/>
      </w:pPr>
      <w:r>
        <w:t xml:space="preserve">12. Untersuchung:eine Überprüfung von Pflanzen oder Pflanzenteilen mit Methoden, die über die visuelle Kontrolle hinausgehen;</w:t>
      </w:r>
    </w:p>
    <w:p>
      <w:pPr>
        <w:ind w:left="420"/>
      </w:pPr>
      <w:r>
        <w:t xml:space="preserve">13. Drittland:ein Staat, der nicht Mitgliedstaat der Europäischen Union ist;</w:t>
      </w:r>
    </w:p>
    <w:p>
      <w:pPr>
        <w:ind w:left="420"/>
      </w:pPr>
      <w:r>
        <w:t xml:space="preserve">14. Partie:bestimmte Stückzahl ein und derselben Ware, die in Bezug auf Zusammensetzung und Ursprung homogen ist;</w:t>
      </w:r>
    </w:p>
    <w:p>
      <w:pPr>
        <w:ind w:left="420"/>
      </w:pPr>
      <w:r>
        <w:t xml:space="preserve">15. Kryokonservierung:die Erhaltung von Pflanzenmaterial durch Herunterkühlen auf extrem niedrige Temperaturen, um die Vitalität des Materials zu erhalten;</w:t>
      </w:r>
    </w:p>
    <w:p>
      <w:pPr>
        <w:ind w:left="420"/>
      </w:pPr>
      <w:r>
        <w:t xml:space="preserve">16. Schadorganismen: Unionsquarantäneschädlinge, Schutzgebiet-Quarantäneschädlinge und unionsgeregelte Nicht-Quarantäneschädlinge im Sinne der Verordnung (EU) 2016/2031 des Europäischen Parlaments und des Rates vom 26. Oktober 2016 über Maßnahmen zum Schutz vor Pflanzenschädlingen, zur Änderung der Verordnungen (EU) Nr. 228/2013, (EU) Nr. 652/2014 und (EU) Nr. 1143/2014 des Europäischen Parlaments und des Rates und zur Aufhebung der Richtlinien 69/464/EWG, 74/647/EWG, 93/85/EWG, 98/57/EG, 2000/29/EG, 2006/91/EG und 2007/33/EG des Rates (ABl. L 317 vom 23.11.2016, S. 4; L 35 vom 7.2.2020, S. 51), die durch die Verordnung (EU) 2017/625 (ABl. L 95 vom 7.4.2017, S. 1; L 137 vom 24.5.2017, S. 40; L 322 vom 18.12.2018, S. 85) geändert worden ist, in der jeweils geltenden Fassung;</w:t>
      </w:r>
    </w:p>
    <w:p>
      <w:pPr>
        <w:ind w:left="420"/>
      </w:pPr>
      <w:r>
        <w:t xml:space="preserve">17. RNQPs: unionsgeregelte Nicht-Quarantäneschädlinge (regulated non-quarantine pests) im Sinne des Artikels 36 der Verordnung (EU) 2016/2031;</w:t>
      </w:r>
    </w:p>
    <w:p>
      <w:pPr>
        <w:ind w:left="420"/>
      </w:pPr>
      <w:r>
        <w:t xml:space="preserve">18. praktisch frei von Schadorganismen: praktisch frei von Schädlingen im Sinne des Artikels 2 Absatz 2 Buchstabe a der Durchführungsverordnung (EU) 2019/2072 der Kommission vom 28. November 2019 zur Festlegung einheitlicher Bedingungen für die Durchführung der Verordnung (EU) 2016/2031 des Europäischen Parlaments und des Rates in Bezug auf Maßnahmen zum Schutz vor Pflanzenschädlingen und zur Aufhebung der Verordnung (EG) Nr. 690/2008 der Kommission sowie zur Änderung der Durchführungsverordnung (EU) 2018/2019 der Kommission (ABl. L 319 vom 10.12.2019, S. 1) in der jeweils geltenden Fassung.</w:t>
      </w:r>
    </w:p>
    <w:p>
      <w:r>
        <w:rPr>
          <w:color w:val="555555"/>
          <w:sz w:val="17"/>
        </w:rPr>
        <w:t xml:space="preserve">Zitiervorschlag: § 2 AGOZV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https://recht.nulegal.eu/gesetze/AGOZV%202018/2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AGOZV 2018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