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AGOZV 2018 — Anwendungsbereich</w:t>
      </w:r>
    </w:p>
    <w:p>
      <w:r>
        <w:rPr>
          <w:color w:val="555555"/>
          <w:sz w:val="18"/>
        </w:rPr>
        <w:t xml:space="preserve">Anbaumaterialverordnung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Anforderungen an Anbaumaterial von</w:t>
      </w:r>
    </w:p>
    <w:p>
      <w:pPr>
        <w:ind w:left="420"/>
      </w:pPr>
      <w:r>
        <w:t xml:space="preserve">1. Gemüsearten mit Ausnahme von Saatgut von Gemüsearten,</w:t>
      </w:r>
    </w:p>
    <w:p>
      <w:pPr>
        <w:ind w:left="420"/>
      </w:pPr>
      <w:r>
        <w:t xml:space="preserve">2. Obstarten zur Fruchterzeugung sowie</w:t>
      </w:r>
    </w:p>
    <w:p>
      <w:pPr>
        <w:ind w:left="420"/>
      </w:pPr>
      <w:r>
        <w:t xml:space="preserve">3. Zierpflanzenarten mit Ausnahme von Anbaumaterial, das für die forstliche oder landwirtschaftliche Nutzung bestimmt ist,</w:t>
      </w:r>
    </w:p>
    <w:p>
      <w:r>
        <w:t xml:space="preserve">der in der Anlage 1 aufgeführten Arten hinsichtlich des Inverkehrbringens sowie der Einfuhr.</w:t>
      </w:r>
    </w:p>
    <w:p>
      <w:r>
        <w:rPr>
          <w:color w:val="555555"/>
          <w:sz w:val="17"/>
        </w:rPr>
        <w:t xml:space="preserve">Zitiervorschlag: § 1 AGOZV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https://recht.nulegal.eu/gesetze/AGOZV%202018/1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