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AGOWiG (Brandenburg) — Notwendige Auslagen</w:t>
      </w:r>
    </w:p>
    <w:p>
      <w:r>
        <w:rPr>
          <w:color w:val="555555"/>
          <w:sz w:val="18"/>
        </w:rPr>
        <w:t xml:space="preserve">Gesetz zur Ausführung des Gesetzes über Ordnungswidrigkeiten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Notwendige Auslagen nach § 105 Abs. 2 des Gesetzes über Ordnungswidrigkeiten trägt die juristische Person des öffentlichen Rechts, deren Behörde oder Stelle das Bußgeldverfahren durchgeführt hat. Die notwendigen Auslagen sind den in Satz 1 genannten juristischen Personen unmittelbar aufzuerlegen.</w:t>
      </w:r>
    </w:p>
    <w:p>
      <w:r>
        <w:t xml:space="preserve">(2) Soweit Landräte oder Oberbürgermeister als allgemeine untere Landesbehörden Bußgeldverfahren durchführen, ist Absatz 1 mit der Maßgabe entsprechend anzuwenden, daß die Landkreise oder die kreisfreien Städte die notwendigen Auslagen tragen.</w:t>
      </w:r>
    </w:p>
    <w:p>
      <w:r>
        <w:rPr>
          <w:color w:val="555555"/>
          <w:sz w:val="17"/>
        </w:rPr>
        <w:t xml:space="preserve">Zitiervorschlag: § 4 AGOWiG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https://recht.nulegal.eu/gesetze/AGOWiG/4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