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AGOWiG (Brandenburg) — Geltungsbereich</w:t>
      </w:r>
    </w:p>
    <w:p>
      <w:r>
        <w:rPr>
          <w:color w:val="555555"/>
          <w:sz w:val="18"/>
        </w:rPr>
        <w:t xml:space="preserve">Gesetz zur Ausführung des Gesetzes über Ordnungswidrigkeiten</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folgenden Vorschriften gelten für Ordnungswidrigkeiten nach Bundesrecht und nach Landesrecht, soweit Behörden oder Stellen des Landes oder eine der Aufsicht des Landes unterstehende juristische Person des öffentlichen Rechts Bußgeldverfahren durchführen.</w:t>
      </w:r>
    </w:p>
    <w:p>
      <w:r>
        <w:rPr>
          <w:color w:val="555555"/>
          <w:sz w:val="17"/>
        </w:rPr>
        <w:t xml:space="preserve">Zitiervorschlag: § 1 AGOWiG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https://recht.nulegal.eu/gesetze/AGOWiG/1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