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AGO (Bayern)</w:t>
      </w:r>
    </w:p>
    <w:p>
      <w:r>
        <w:rPr>
          <w:color w:val="555555"/>
          <w:sz w:val="18"/>
        </w:rPr>
        <w:t xml:space="preserve">Allgemeine Geschäftsordnung für die Behörden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43 Abs. 1 der Verfassung erlässt die Bayerische Staatsregierung folgende Allgemeine Geschäftsordnung:</w:t>
      </w:r>
    </w:p>
    <w:p>
      <w:r>
        <w:rPr>
          <w:color w:val="555555"/>
          <w:sz w:val="17"/>
        </w:rPr>
        <w:t xml:space="preserve">Zitiervorschlag: Eingangsformel AGO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https://recht.nulegal.eu/gesetze/AGO/eingangsformel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