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AGO (Bayern) — Information, Medien- und Öffentlichkeitsarbeit</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Öffentlichkeit ist über Leistungen, Zuständigkeiten, Verfahren oder Termine rechtzeitig und angemessen zu informieren. Neben Informationen in elektronischer Form, Broschüren, Merkblättern, Vordrucken und Ähnlichem können auch Informationsveranstaltungen, Bürgertelefone, Anhörungen, Ausstellungen oder ein Tag der offenen Tür angeboten werden.</w:t>
      </w:r>
    </w:p>
    <w:p>
      <w:r>
        <w:t xml:space="preserve">(2) Amtliche Nachrichten und Mitteilungen sind gemäß Art. 4 des Bayerischen Pressegesetzes auf Verlangen allen Medien unter gleichen Bedingungen unentgeltlich zur Verfügung zu stellen.</w:t>
      </w:r>
    </w:p>
    <w:p>
      <w:r>
        <w:rPr>
          <w:color w:val="555555"/>
          <w:sz w:val="17"/>
        </w:rPr>
        <w:t xml:space="preserve">Zitiervorschlag: § 8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