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AGO (Bayern) — Bürgernähe</w:t>
      </w:r>
    </w:p>
    <w:p>
      <w:r>
        <w:rPr>
          <w:color w:val="555555"/>
          <w:sz w:val="18"/>
        </w:rPr>
        <w:t xml:space="preserve">Allgemeine Geschäftsordnung für die Behörden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Behörden sollen für die Bürger persönlich, telefonisch, schriftlich, per Telefax und elektronisch erreichbar sein.</w:t>
      </w:r>
    </w:p>
    <w:p>
      <w:r>
        <w:t xml:space="preserve">(2) Während der Öffnungszeiten nach § 6 Abs. 1 Satz 1 müssen Rechtsbehelfe, Anträge und sonstige Erklärungen, die an Fristen gebunden oder besonders dringlich sind, entgegengenommen werden können.</w:t>
      </w:r>
    </w:p>
    <w:p>
      <w:r>
        <w:t xml:space="preserve">(3) Gehen bei der Behörde regelmäßig fristgebundene Dokumente (= papiergebundene oder auf Datenträgern gespeicherte Informationen) ein, muss der Tag des Eingangs zuverlässig festgestellt werden können.</w:t>
      </w:r>
    </w:p>
    <w:p>
      <w:r>
        <w:rPr>
          <w:color w:val="555555"/>
          <w:sz w:val="17"/>
        </w:rPr>
        <w:t xml:space="preserve">Zitiervorschlag: § 5 AGO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https://recht.nulegal.eu/gesetze/AGO/5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