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AGO (Bayern) — Politische Betätigung</w:t>
      </w:r>
    </w:p>
    <w:p>
      <w:r>
        <w:rPr>
          <w:color w:val="555555"/>
          <w:sz w:val="18"/>
        </w:rPr>
        <w:t xml:space="preserve">Allgemeine Geschäftsordnung für die Behörden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Jegliche Werbung für politische Parteien, Wählergruppen, Bürgerinitiativen oder vergleichbare Vereinigungen sowie für deren Meinungen und Anliegen ist unzulässig. Politische Abzeichen dürfen im Dienst nicht getragen werden.</w:t>
      </w:r>
    </w:p>
    <w:p>
      <w:r>
        <w:rPr>
          <w:color w:val="555555"/>
          <w:sz w:val="17"/>
        </w:rPr>
        <w:t xml:space="preserve">Zitiervorschlag: § 31 AGO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