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AGO (Bayern) — Dienstsiegel</w:t>
      </w:r>
    </w:p>
    <w:p>
      <w:r>
        <w:rPr>
          <w:color w:val="555555"/>
          <w:sz w:val="18"/>
        </w:rPr>
        <w:t xml:space="preserve">Allgemeine Geschäftsordnung für die Behörden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Elektronisch hergestellte Dokumente können gemäß § 8 Abs. 4 der Verordnung zur Ausführung des Gesetzes über das Wappen des Freistaates Bayern auch mit maschinell oder elektronisch erzeugbaren Siegelabdrucken versehen werden.</w:t>
      </w:r>
    </w:p>
    <w:p>
      <w:r>
        <w:t xml:space="preserve">(2) Die Zahl der Dienstsiegel sowie die Zahl der Beschäftigten, die berechtigt sind, ein Dienstsiegel zu verwenden, sind auf das unbedingt notwendige Maß zu beschränken.</w:t>
      </w:r>
    </w:p>
    <w:p>
      <w:r>
        <w:t xml:space="preserve">(3) Dienstsiegel dürfen nur verwendet werden,</w:t>
      </w:r>
    </w:p>
    <w:p>
      <w:r>
        <w:t xml:space="preserve">1. in gesetzlich vorgeschriebenen Fällen,</w:t>
      </w:r>
    </w:p>
    <w:p>
      <w:r>
        <w:t xml:space="preserve">2. wenn an die Form und die Beweiskraft des Dokuments besondere Anforderungen zu stellen sind (z.B. Urkunden, Ausweise).</w:t>
      </w:r>
    </w:p>
    <w:p>
      <w:r>
        <w:t xml:space="preserve">(4) Dienstsiegel sowie schutzwürdige Vordrucke, Plaketten und Ähnliches sind sicher aufzubewahren und vor Missbrauch und Verlust zu schützen. Sie sind zu erfassen. Ihr Gebrauch und ihre Aufbewahrung sind zu überwachen.</w:t>
      </w:r>
    </w:p>
    <w:p>
      <w:r>
        <w:t xml:space="preserve">(5) Der Verlust eines Dienstsiegels ist der ausgebenden Organisationseinheit unverzüglich anzuzeigen. Nicht mehr verwendete Dienstsiegel sind zu vernichten. Der Verlust oder die Vernichtung ist festzuhalten.</w:t>
      </w:r>
    </w:p>
    <w:p>
      <w:r>
        <w:rPr>
          <w:color w:val="555555"/>
          <w:sz w:val="17"/>
        </w:rPr>
        <w:t xml:space="preserve">Zitiervorschlag: § 25 AGO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