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AGO (Bayern) — Formale Gestaltungsregeln</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Dienstliche Dokumente müssen mindestens Absender (Behördenbezeichnung, Angabe der Anschrift und der Telekommunikationsdienste), Empfänger, Datum, Geschäftszeichen, Bezug und Betreff enthalten. Die einem Dokument beigefügten Anlagen sollen der Anzahl und dem Inhalt nach benannt werden.</w:t>
      </w:r>
    </w:p>
    <w:p>
      <w:r>
        <w:t xml:space="preserve">(2) Bei der Gestaltung dienstlicher Dokumente sollen die einschlägigen DIN-Normen nach Maßgabe der Anlagen 1 und 2 beachtet werden.</w:t>
      </w:r>
    </w:p>
    <w:p>
      <w:r>
        <w:t xml:space="preserve">(3) Elektronische Dokumente und Daten, die an Dritte übermittelt werden, sind unter Beachtung der Standards und Richtlinien für die Informations- und Kommunikationstechnik in der bayerischen Verwaltung (in der jeweils geltenden Fassung) zu erstellen.</w:t>
      </w:r>
    </w:p>
    <w:p>
      <w:r>
        <w:rPr>
          <w:color w:val="555555"/>
          <w:sz w:val="17"/>
        </w:rPr>
        <w:t xml:space="preserve">Zitiervorschlag: § 21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