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AGO (Bayern) — Vordrucke und Arbeitshilfen für standardisierte Arbeitsvorgänge</w:t>
      </w:r>
    </w:p>
    <w:p>
      <w:r>
        <w:rPr>
          <w:color w:val="555555"/>
          <w:sz w:val="18"/>
        </w:rPr>
        <w:t xml:space="preserve">Allgemeine Geschäftsordnung für die Behörden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wiederkehrende, gleichartige Arbeitsvorgänge sowie sonstige standardisierte Dokumententeile sollen einheitliche und arbeitsgerechte Vorlagen, Vordrucke und ähnliche Arbeitshilfen verwendet werden. Sie sollen möglichst in elektronischen Medien und Informationsdiensten zur allgemeinen Verwendung bereitgehalten werden.</w:t>
      </w:r>
    </w:p>
    <w:p>
      <w:r>
        <w:t xml:space="preserve">(2) Allgemein gültige, verbindliche Vordrucke, die von Formularverlagen, Druckereien und sonstigen Dritten verwertet werden dürfen, sind als Muster zu veröffentlichen. Von Privaten hergestellte Vordrucke und Formulare, die urheberrechtlich geschützt sind, dürfen nur mit Erlaubnis des Urhebers vervielfältigt und zur allgemeinen Verwendung zur Verfügung gestellt werden.</w:t>
      </w:r>
    </w:p>
    <w:p>
      <w:r>
        <w:rPr>
          <w:color w:val="555555"/>
          <w:sz w:val="17"/>
        </w:rPr>
        <w:t xml:space="preserve">Zitiervorschlag: § 20 AGO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