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AGO (Bayern) — Allgemeine Gestaltungsziele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Aufgaben des Staates sind im Rahmen der Rechtsordnung insbesondere allgemeinwohlbezogen, zielorientiert, wirtschaftlich und sparsam, bürgerfreundlich, umweltgerecht, sozialverträglich und mitarbeiterbezogen zu erfüllen.</w:t>
      </w:r>
    </w:p>
    <w:p>
      <w:r>
        <w:t xml:space="preserve">(2) Die Aufgabenerfüllung einschließlich der Aufgabenkritik sowie die Verwaltungsorganisation sind mit dem Ziel des Abbaus, der Privatisierung, der Delegation, der Vereinfachung und der Beschleunigung stetig zu überprüfen und zu verbessern.</w:t>
      </w:r>
    </w:p>
    <w:p>
      <w:r>
        <w:rPr>
          <w:color w:val="555555"/>
          <w:sz w:val="17"/>
        </w:rPr>
        <w:t xml:space="preserve">Zitiervorschlag: § 2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