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AGO (Bayern) — Geltungsbereich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Allgemeine Geschäftsordnung gilt für alle Behörden des Freistaates Bayern. Behörde im Sinn dieser Geschäftsordnung ist jede Stelle, die Aufgaben der öffentlichen Verwaltung wahrnimmt.</w:t>
      </w:r>
    </w:p>
    <w:p>
      <w:r>
        <w:t xml:space="preserve">(2) Regelungen in Rechtsvorschriften, in bundeseinheitlichen Verwaltungsvorschriften oder Verwaltungsvorschriften der Staatsregierung, die dieser Geschäftsordnung entsprechen oder entgegenstehen, bleiben unberührt.</w:t>
      </w:r>
    </w:p>
    <w:p>
      <w:r>
        <w:rPr>
          <w:color w:val="555555"/>
          <w:sz w:val="17"/>
        </w:rPr>
        <w:t xml:space="preserve">Zitiervorschlag: § 1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