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AGMahnVordrV</w:t>
      </w:r>
    </w:p>
    <w:p>
      <w:r>
        <w:rPr>
          <w:color w:val="555555"/>
          <w:sz w:val="18"/>
        </w:rPr>
        <w:t xml:space="preserve">Verordnung zur Einführung von Vordrucken für das arbeitsgerichtliche Mahnverfahren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durch Artikel 3 Nr. 2 der Vereinfachungsnovelle vom 3. Dezember 1976 (BGBl. I S. 3281) eingefügten § 46a Abs. 7 des Arbeitsgerichtsgesetzes wird mit Zustimmung des Bundesrates verordnet:</w:t>
      </w:r>
    </w:p>
    <w:p>
      <w:r>
        <w:rPr>
          <w:color w:val="555555"/>
          <w:sz w:val="17"/>
        </w:rPr>
        <w:t xml:space="preserve">Zitiervorschlag: Eingangsformel AGMahnVordrV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https://recht.nulegal.eu/gesetze/AGMahnVordrV/eingangsformel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