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AGMahnVordrV — Vordrucke zur Übermittlung als strukturierter Datensatz</w:t>
      </w:r>
    </w:p>
    <w:p>
      <w:r>
        <w:rPr>
          <w:color w:val="555555"/>
          <w:sz w:val="18"/>
        </w:rPr>
        <w:t xml:space="preserve">Verordnung zur Einführung von Vordrucken für das arbeitsgerichtliche Mahnverfahren</w:t>
      </w:r>
    </w:p>
    <w:p>
      <w:r>
        <w:rPr>
          <w:color w:val="555555"/>
          <w:sz w:val="18"/>
        </w:rPr>
        <w:t xml:space="preserve">Stand: 01.06.2022 (konsolidierte Textfassung, kein amtliches Inkrafttretensdatum)</w:t>
      </w:r>
    </w:p>
    <w:p>
      <w:r>
        <w:t xml:space="preserve">Die Länder können Anpassungen an den in den Anlagen bestimmten Vordrucken zulassen, die es, ohne den Inhalt wesentlich zu verändern oder dessen Verständnis zu erschweren, ermöglichen, die Vordrucke elektronisch auszufüllen und dem Gericht als strukturierten Datensatz zu übermitteln. Für die Übermittlung als strukturierter Datensatz sind die in den Vordrucken enthaltenen Angaben in eine für das Gericht für die Bearbeitung geeignete Form zu übertragen. Die Identifizierung des Vordruckverwenders kann abweichend von § 46c Absatz 3 des Arbeitsgerichtsgesetzes statt mit einer qualifizierten elektronischen Signatur auch durch Nutzung des elektronischen Identitätsnachweises nach § 18 des Personalausweisgesetzes, § 12 des eID-Karte-Gesetzes oder § 78 Absatz 5 des Aufenthaltsgesetzes erfolgen, wenn im jeweiligen Land die technischen Voraussetzungen hierfür vorliegen.</w:t>
      </w:r>
    </w:p>
    <w:p>
      <w:r>
        <w:rPr>
          <w:color w:val="555555"/>
          <w:sz w:val="17"/>
        </w:rPr>
        <w:t xml:space="preserve">Zitiervorschlag: § 4 AGMahnVordrV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https://recht.nulegal.eu/gesetze/AGMahnVordrV/4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