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AGMahnVordrV — Elektronisch ausfüllbarer und auslesbarer Vordruck</w:t>
      </w:r>
    </w:p>
    <w:p>
      <w:r>
        <w:rPr>
          <w:color w:val="555555"/>
          <w:sz w:val="18"/>
        </w:rPr>
        <w:t xml:space="preserve">Verordnung zur Einführung von Vordrucken für das arbeitsgerichtliche Mahnverfahren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(1) Die Länder können die in den Anlagen bestimmten Vordrucke in elektronisch ausfüllbarer Form zur Einreichung in Papierform zur Verfügung stellen.</w:t>
      </w:r>
    </w:p>
    <w:p>
      <w:r>
        <w:t xml:space="preserve">(2) Zur elektronischen Weiterverarbeitung der Daten aus einem in Papierform eingereichten Vordruck kann dieser elektronisch ausgelesen werden. Die Länder sind befugt, die technischen Voraussetzungen hierfür festzulegen.</w:t>
      </w:r>
    </w:p>
    <w:p>
      <w:r>
        <w:rPr>
          <w:color w:val="555555"/>
          <w:sz w:val="17"/>
        </w:rPr>
        <w:t xml:space="preserve">Zitiervorschlag: § 2 AGMahnVordrV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https://recht.nulegal.eu/gesetze/AGMahnVordrV/2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