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AGM (Bayern) — Entsendung</w:t>
      </w:r>
    </w:p>
    <w:p>
      <w:r>
        <w:rPr>
          <w:color w:val="555555"/>
          <w:sz w:val="18"/>
        </w:rPr>
        <w:t xml:space="preserve">Ausführungsgesetz Medienstaatsverträge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BITKOM Bundesverband Informationswirtschaft, Telekommunikation und neue Medien e.V. entsendet ein Mitglied gemäß § 21 Abs. 1 Satz 1 Buchst. q Doppelbuchst. bb, Abs. 3 Satz 2 des ZDF-Staatsvertrags in den Fernsehrat des Zweiten Deutschen Fernsehens (ZDF).</w:t>
      </w:r>
    </w:p>
    <w:p>
      <w:r>
        <w:rPr>
          <w:color w:val="555555"/>
          <w:sz w:val="17"/>
        </w:rPr>
        <w:t xml:space="preserve">Zitiervorschlag: Art 9 AGM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