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AGM (Bayern) — Vollstreckungsverfahren</w:t>
      </w:r>
    </w:p>
    <w:p>
      <w:r>
        <w:rPr>
          <w:color w:val="555555"/>
          <w:sz w:val="18"/>
        </w:rPr>
        <w:t xml:space="preserve">Ausführungsgesetz Medienstaatsverträge</w:t>
      </w:r>
    </w:p>
    <w:p>
      <w:r>
        <w:rPr>
          <w:color w:val="555555"/>
          <w:sz w:val="18"/>
        </w:rPr>
        <w:t xml:space="preserve">Landesrecht Bayern</w:t>
      </w:r>
    </w:p>
    <w:p>
      <w:r>
        <w:rPr>
          <w:color w:val="555555"/>
          <w:sz w:val="18"/>
        </w:rPr>
        <w:t xml:space="preserve">Stand: 25.08.2026 (konsolidierte Textfassung, kein amtliches Inkrafttretensdatum)</w:t>
      </w:r>
    </w:p>
    <w:p>
      <w:r>
        <w:t xml:space="preserve">Rückständige Rundfunkbeiträge nach dem Rundfunkbeitragsstaatsvertrag sowie Zinsen, Kosten und Säumniszuschläge, die nach § 9 Abs. 2 Satz 1 Nr. 5 des Rundfunkbeitragsstaatsvertrags in Verbindung mit den entsprechenden Satzungsregelungen zu entrichten sind, werden im Vollstreckungsverfahren nach den Vorschriften des Bayerischen Verwaltungszustellungs- und Vollstreckungsgesetzes beigetrieben. Der Bayerische Rundfunk ist befugt, für die Vollstreckung der in Satz 1 genannten Forderungen eine Vollstreckungsanordnung zu erteilen und zu diesem Zweck die Vollstreckungsklausel auf eine Ausfertigung des Leistungsbescheids oder eines Ausstandsverzeichnisses zu setzen. Bei einer Vollstreckungsanordnung, die mit Hilfe automatischer Einrichtungen erlassen wird, können Unterschrift und Dienstsiegel fehlen.</w:t>
      </w:r>
    </w:p>
    <w:p>
      <w:r>
        <w:rPr>
          <w:color w:val="555555"/>
          <w:sz w:val="17"/>
        </w:rPr>
        <w:t xml:space="preserve">Zitiervorschlag: Art 7 AGM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https://recht.nulegal.eu/gesetze/AGM/7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