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6 AGM (Bayern) — Oberste Landesjugendbehörde, Träger der Jugendhilfe</w:t>
      </w:r>
    </w:p>
    <w:p>
      <w:r>
        <w:rPr>
          <w:color w:val="555555"/>
          <w:sz w:val="18"/>
        </w:rPr>
        <w:t xml:space="preserve">Ausführungsgesetz Medienstaatsverträge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Oberste Landesjugendbehörde im Sinn des Jugendmedienschutz-Staatsvertrags ist das Bayerische Staatsministerium für Familie, Arbeit und Soziales.</w:t>
      </w:r>
    </w:p>
    <w:p>
      <w:r>
        <w:t xml:space="preserve">(2) Zuständige Träger der Jugendhilfe nach § 19 Abs. 2 Nr. 4 des Jugendmedienschutz-Staatsvertrags sind das Bayerische Staatsministerium für Familie, Arbeit und Soziales und das Bayerische Landesjugendamt.</w:t>
      </w:r>
    </w:p>
    <w:p>
      <w:r>
        <w:rPr>
          <w:color w:val="555555"/>
          <w:sz w:val="17"/>
        </w:rPr>
        <w:t xml:space="preserve">Zitiervorschlag: Art 6 AGM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https://recht.nulegal.eu/gesetze/AGM/6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