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AGM (Bayern) — Finanzierung</w:t>
      </w:r>
    </w:p>
    <w:p>
      <w:r>
        <w:rPr>
          <w:color w:val="555555"/>
          <w:sz w:val="18"/>
        </w:rPr>
        <w:t xml:space="preserve">Ausführungsgesetz Medienstaatsverträge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Landeszentrale finanziert ihre Aufgaben nach den Art. 1 und 2 entsprechend Art. 21 Abs. 1 des Bayerischen Mediengesetzes aus</w:t>
      </w:r>
    </w:p>
    <w:p>
      <w:r>
        <w:t xml:space="preserve">1. Entgelten,</w:t>
      </w:r>
    </w:p>
    <w:p>
      <w:r>
        <w:t xml:space="preserve">2. dem Anteil an dem Rundfunkbeitrag nach § 112 in Verbindung mit § 122 MStV, §§ 10 und 11 des Rundfunkfinanzierungsstaatsvertrags,</w:t>
      </w:r>
    </w:p>
    <w:p>
      <w:r>
        <w:t xml:space="preserve">3. sonstigen Einnahmen.</w:t>
      </w:r>
    </w:p>
    <w:p>
      <w:r>
        <w:rPr>
          <w:color w:val="555555"/>
          <w:sz w:val="17"/>
        </w:rPr>
        <w:t xml:space="preserve">Zitiervorschlag: Art 4 AGM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https://recht.nulegal.eu/gesetze/AGM/4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