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AGLFGB (Brandenburg) — Ordnungswidrigkeiten</w:t>
      </w:r>
    </w:p>
    <w:p>
      <w:r>
        <w:rPr>
          <w:color w:val="555555"/>
          <w:sz w:val="18"/>
        </w:rPr>
        <w:t xml:space="preserve">Gesetz zur Ausführung des Lebensmittel- und Futtermittelgesetzbuches und weiterer Vorschriften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ohne Zulassung nach § 6 Abs. 1 Satz 1 Untersuchungen und Beurteilungen amtlich zurückgelassener Proben durchführt oder</w:t>
      </w:r>
    </w:p>
    <w:p>
      <w:r>
        <w:t xml:space="preserve">einer vollziehbaren behördlichen Anordnung gemäß § 8 Abs. 1 Satz 2 zuwiderhandelt.</w:t>
      </w:r>
    </w:p>
    <w:p>
      <w:r>
        <w:t xml:space="preserve">(2) Eine Ordnungswidrigkeit nach Absatz 1 kann mit einer Geldbuße bis zu 100 000 Euro geahndet werden.</w:t>
      </w:r>
    </w:p>
    <w:p>
      <w:r>
        <w:t xml:space="preserve">(3) Gegenstände, auf die sich die Ordnungswidrigkeit nach Absatz 1 bezieht, können eingezogen werden. § 23 des Gesetzes über Ordnungswidrigkeiten findet Anwendung.</w:t>
      </w:r>
    </w:p>
    <w:p>
      <w:r>
        <w:rPr>
          <w:color w:val="555555"/>
          <w:sz w:val="17"/>
        </w:rPr>
        <w:t xml:space="preserve">Zitiervorschlag: § 10 AGLFGB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https://recht.nulegal.eu/gesetze/AGLFGB/10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