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AGInsO (Brandenburg) — Finanzierung der Insolvenzberatung in anerkannten Schuldnerberatungsstellen</w:t>
      </w:r>
    </w:p>
    <w:p>
      <w:r>
        <w:rPr>
          <w:color w:val="555555"/>
          <w:sz w:val="18"/>
        </w:rPr>
        <w:t xml:space="preserve">Brandenburgisches Gesetz zur Ausführung der Insolvenzordnung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Land stellt den anerkannten Beratungsstellen unter Berücksichtigung ihrer Einnahmen die für die Insolvenzberatung erforderlichen Personal- und Sachkosten zur Verfügung. Dies kann auch durch die Zahlung von Fallpauschalen geschehen. Das Ministerium für Arbeit, Soziales, Gesundheit und Frauen wird ermächtigt, das Nähere durch Rechtsverordnung zu regeln.</w:t>
      </w:r>
    </w:p>
    <w:p>
      <w:r>
        <w:rPr>
          <w:color w:val="555555"/>
          <w:sz w:val="17"/>
        </w:rPr>
        <w:t xml:space="preserve">Zitiervorschlag: § 8 AGInsO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https://recht.nulegal.eu/gesetze/AGInsO/8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