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AGImSchG (Sachsen) — In-Kraft-Treten</w:t>
      </w:r>
    </w:p>
    <w:p>
      <w:r>
        <w:rPr>
          <w:color w:val="555555"/>
          <w:sz w:val="18"/>
        </w:rPr>
        <w:t xml:space="preserve">Ausführungsgesetz zum Bundes-Immissionsschutzgesetz und zum Benzinbleigesetz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seiner Verkündung in Kraft.</w:t>
      </w:r>
    </w:p>
    <w:p>
      <w:r>
        <w:t xml:space="preserve">Das vorstehende Gesetz wird hiermit ausgefertigt und ist zu verkünden.</w:t>
      </w:r>
    </w:p>
    <w:p>
      <w:r>
        <w:t xml:space="preserve">Dresden, den 4. Juli 1994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</w:t>
      </w:r>
    </w:p>
    <w:p>
      <w:r>
        <w:t xml:space="preserve">für Umwelt und Landesentwicklung</w:t>
      </w:r>
    </w:p>
    <w:p>
      <w:r>
        <w:t xml:space="preserve">Arnold Vaatz</w:t>
      </w:r>
    </w:p>
    <w:p>
      <w:r>
        <w:rPr>
          <w:color w:val="555555"/>
          <w:sz w:val="17"/>
        </w:rPr>
        <w:t xml:space="preserve">Zitiervorschlag: § 7 AGImSchG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https://recht.nulegal.eu/gesetze/AGImSchG/7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