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AGImSchG (Sachsen) — Anwendung des Bundes-Immissionsschutzgesetzes und der Störfall-Verordnung auf nicht gewerbliche Betriebsbereiche</w:t>
      </w:r>
    </w:p>
    <w:p>
      <w:r>
        <w:rPr>
          <w:color w:val="555555"/>
          <w:sz w:val="18"/>
        </w:rPr>
        <w:t xml:space="preserve">Ausführungsgesetz zum Bundes-Immissionsschutzgesetz und zum Benzinbleigesetz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Für eine Anlage, die Betriebsbereich oder Bestandteil eines Betriebsbereichs nach § 3 Absatz 5a des Bundes-Immissionsschutzgesetzes ist, die nicht gewerblichen Zwecken dient und die nicht im Rahmen wirtschaftlicher Unternehmungen Verwendung findet, gelten</w:t>
      </w:r>
    </w:p>
    <w:p>
      <w:r>
        <w:t xml:space="preserve">1. § 15 Absatz 2a, §§ 16a, 17 Absatz 1 und 4 Satz 2, § 19 Absatz 4, § 20 Absatz 1a, §§ 23a bis 25a, 29a, 30, 31 Absatz 2a, § 52 Absatz 1 Satz 1 bis 4, Absatz 2, 4 Satz 1 und 3, Absatz 5 bis 7 sowie § 62 Absatz 1 Nummer 2, 4a bis 7, Absatz 2 Nummer 1b und 4 sowie Absatz 3 des Bundes-Immissionsschutzgesetzes und</w:t>
      </w:r>
    </w:p>
    <w:p>
      <w:r>
        <w:t xml:space="preserve">2. die Vorschriften der Störfall-Verordnung in der Fassung der Bekanntmachung vom 15. März 2017 (BGBl. I S. 483), die zuletzt durch Artikel 107 der Verordnung vom 19. Juni 2020 (BGBl. I S. 1328) geändert worden ist, in der jeweils geltenden Fassung,</w:t>
      </w:r>
    </w:p>
    <w:p>
      <w:r>
        <w:t xml:space="preserve">entsprechend.</w:t>
      </w:r>
    </w:p>
    <w:p>
      <w:r>
        <w:t xml:space="preserve">(2) Zuständig für die Wahrnehmung von Aufgaben nach Absatz 1 sind die nach den Vorschriften dieses Gesetzes sowie der auf dessen Grundlage erlassenen Verordnungen zuständigen Behörden. Die Zuständigkeitsregelungen zu den in Absatz 1 für anwendbar erklärten Vorschriften gelten entsprechend.</w:t>
      </w:r>
    </w:p>
    <w:p>
      <w:r>
        <w:rPr>
          <w:color w:val="555555"/>
          <w:sz w:val="17"/>
        </w:rPr>
        <w:t xml:space="preserve">Zitiervorschlag: § 6 AGImSchG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https://recht.nulegal.eu/gesetze/AGImSchG/6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