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AGIHKG (Brandenburg)</w:t>
      </w:r>
    </w:p>
    <w:p>
      <w:r>
        <w:rPr>
          <w:color w:val="555555"/>
          <w:sz w:val="18"/>
        </w:rPr>
        <w:t xml:space="preserve">Gesetz zur Ergänzung des Rechts der Industrie- und Handelskammern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Die Industrie- und Handelskammern sind berechtigt, ein Dienstsiegel zu führen. Die Vorschriften über die Führung des Landessiegels bleiben unberührt.</w:t>
      </w:r>
    </w:p>
    <w:p>
      <w:r>
        <w:rPr>
          <w:color w:val="555555"/>
          <w:sz w:val="17"/>
        </w:rPr>
        <w:t xml:space="preserve">Zitiervorschlag: § 8 AGIHKG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https://recht.nulegal.eu/gesetze/AGIHKG/8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