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AGIHKG (Brandenburg)</w:t>
      </w:r>
    </w:p>
    <w:p>
      <w:r>
        <w:rPr>
          <w:color w:val="555555"/>
          <w:sz w:val="18"/>
        </w:rPr>
        <w:t xml:space="preserve">Gesetz zur Ergänzung des Rechts der Industrie- und Handelskammern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die Rechnungslegung der Industrie- und Handelskammern sind sinngemäß die Grundsätze anzuwenden, die für das staatliche Haushalts-, Kassen- und Rechnungswesen gelten. Die Industrie- und Handelskammern geben sich eine Haushalts-, Kassen- und Rechnungslegungsordnung, die der Genehmigung der Aufsichtsbehörde bedarf.</w:t>
      </w:r>
    </w:p>
    <w:p>
      <w:r>
        <w:t xml:space="preserve">(2) Die Aufsichtsbehörde bestimmt durch Rechtsverordnung die Rechnungsprüfungsstelle.</w:t>
      </w:r>
    </w:p>
    <w:p>
      <w:r>
        <w:t xml:space="preserve">(3) Die Haushalts- und Wirtschaftsprüfung der Industrie- und Handelskammern unterliegt nicht der allgemeinen Prüfung durch den Landesrechnungshof.</w:t>
      </w:r>
    </w:p>
    <w:p>
      <w:r>
        <w:rPr>
          <w:color w:val="555555"/>
          <w:sz w:val="17"/>
        </w:rPr>
        <w:t xml:space="preserve">Zitiervorschlag: § 5 AGIHKG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https://recht.nulegal.eu/gesetze/AGIHKG/5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