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AGIHKG (Brandenburg)</w:t>
      </w:r>
    </w:p>
    <w:p>
      <w:r>
        <w:rPr>
          <w:color w:val="555555"/>
          <w:sz w:val="18"/>
        </w:rPr>
        <w:t xml:space="preserve">Gesetz zur Ergänzung des Rechts der Industrie- und Handelskammern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Industrie- und Handelskammern ziehen ihre Beiträge, Sonderbeiträge und Gebühren selbst ein.</w:t>
      </w:r>
    </w:p>
    <w:p>
      <w:r>
        <w:t xml:space="preserve">(2) Die kreisfreien Städte und die Landkreise sind Vollstreckungsbehörden für die Beitreibung rückständiger Beiträge, Sonderbeiträge und Gebühren. Uneinbringliche Beitreibungskosten (Gebühren, Auslagen und Kostenbeiträge) sind von der auftraggebenden Industrie- und Handelskammer zu zahlen.</w:t>
      </w:r>
    </w:p>
    <w:p>
      <w:r>
        <w:rPr>
          <w:color w:val="555555"/>
          <w:sz w:val="17"/>
        </w:rPr>
        <w:t xml:space="preserve">Zitiervorschlag: § 4 AGIHKG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https://recht.nulegal.eu/gesetze/AGIHKG/4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