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AGGrdstVG (Brandenburg)</w:t>
      </w:r>
    </w:p>
    <w:p>
      <w:r>
        <w:rPr>
          <w:color w:val="555555"/>
          <w:sz w:val="18"/>
        </w:rPr>
        <w:t xml:space="preserve">Gesetz zur Ausführung des Grundstücksverkehrsgesetzes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Veräußerung von Grundstücken, die kleiner</w:t>
      </w:r>
    </w:p>
    <w:p>
      <w:r>
        <w:t xml:space="preserve">als zwei Hektar sind, bedarf keiner Genehmigung nach dem</w:t>
      </w:r>
    </w:p>
    <w:p>
      <w:r>
        <w:t xml:space="preserve">Grundstückverkehrsgesetz.</w:t>
      </w:r>
    </w:p>
    <w:p>
      <w:r>
        <w:rPr>
          <w:color w:val="555555"/>
          <w:sz w:val="17"/>
        </w:rPr>
        <w:t xml:space="preserve">Zitiervorschlag: § 1 AGGrdstVG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https://recht.nulegal.eu/gesetze/AGGrdstVG/1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