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AGGVG (Bayern) — Zuständigkeit der Landgerichte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Landgerichte sind ohne Rücksicht auf den Wert des Streitgegenstands ausschließlich zuständig:</w:t>
      </w:r>
    </w:p>
    <w:p>
      <w:r>
        <w:t xml:space="preserve">1. für die Ansprüche gegen den Staat oder eine Körperschaft des öffentlichen Rechts wegen Verfügungen der Verwaltungsbehörden,</w:t>
      </w:r>
    </w:p>
    <w:p>
      <w:r>
        <w:t xml:space="preserve">2. für die Ansprüche wegen öffentlicher Abgaben, soweit nicht die Zuständigkeit anderweitig geregelt ist.</w:t>
      </w:r>
    </w:p>
    <w:p>
      <w:r>
        <w:rPr>
          <w:color w:val="555555"/>
          <w:sz w:val="17"/>
        </w:rPr>
        <w:t xml:space="preserve">Zitiervorschlag: Art 9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