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AGGVG (Bayern) — Bußgeldvorschriften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handelt, wer sich unbefugt als</w:t>
      </w:r>
    </w:p>
    <w:p>
      <w:r>
        <w:t xml:space="preserve">1. öffentlich bestellter Dolmetscher oder öffentlich bestellte Dolmetscherin nach Art. 58,</w:t>
      </w:r>
    </w:p>
    <w:p>
      <w:r>
        <w:t xml:space="preserve">2. öffentlich bestellter und allgemein beeidigter Übersetzer oder öffentlich bestellte und allgemein beeidigte Übersetzerin nach Art. 59 oder</w:t>
      </w:r>
    </w:p>
    <w:p>
      <w:r>
        <w:t xml:space="preserve">3. öffentlich bestellter und allgemein beeidigter Dolmetscher oder öffentlich bestellte und allgemein beeidigte Dolmetscherin für die Deutsche Gebärdensprache nach Art. 60</w:t>
      </w:r>
    </w:p>
    <w:p>
      <w:r>
        <w:t xml:space="preserve">bezeichnet oder eine Bezeichnung führt, die damit verwechselt werden kann.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Art 64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