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AGGVG (Bayern) — Öffentliche Bestellung und allgemeine Beeidigung von Dolmetschern für die Deutsche Gebärdensprache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wird als Dolmetscher für die Deutsche Gebärdensprache öffentlich bestellt und allgemein beeidigt, wer die Voraussetzungen nach § 3 Abs. 1 und 2 GDolmG mit der Maßgabe erfüllt, dass an die Stelle der Dolmetscherprüfung eine Prüfung zum Dolmetscher für die Deutsche Gebärdensprache tritt. Art. 59 Abs. 2 gilt entsprechend.</w:t>
      </w:r>
    </w:p>
    <w:p>
      <w:r>
        <w:t xml:space="preserve">(2) Die Bezeichnung „öffentlich bestellter und allgemein beeidigter Dolmetscher für die Deutsche Gebärdensprache“ oder „öffentlich bestellte und allgemein beeidigte Dolmetscherin für die Deutsche Gebärdensprache“ darf führen, wer nach Abs. 1 öffentlich bestellt und allgemein beeidigt ist.</w:t>
      </w:r>
    </w:p>
    <w:p>
      <w:r>
        <w:rPr>
          <w:color w:val="555555"/>
          <w:sz w:val="17"/>
        </w:rPr>
        <w:t xml:space="preserve">Zitiervorschlag: Art 60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