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58 AGGVG (Bayern) — Öffentliche Bestellung von Dolmetschern</w:t>
      </w:r>
    </w:p>
    <w:p>
      <w:r>
        <w:rPr>
          <w:color w:val="555555"/>
          <w:sz w:val="18"/>
        </w:rPr>
        <w:t xml:space="preserve">Gerichtsverfassungsausführungsgesetz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Neben einer allgemeinen Beeidigung als gerichtlicher Dolmetscher nach dem Gerichtsdolmetschergesetz (GDolmG) wird auf Antrag als Dolmetscher zur mündlichen Sprachübertragung für behördliche Zwecke öffentlich bestellt, wer zusätzlich</w:t>
      </w:r>
    </w:p>
    <w:p>
      <w:r>
        <w:t xml:space="preserve">1. im Inland die Übersetzerprüfung eines staatlichen oder staatlich anerkannten Prüfungsamtes oder eine andere staatliche oder staatlich anerkannte Prüfung für den Übersetzerberuf bestanden hat oder</w:t>
      </w:r>
    </w:p>
    <w:p>
      <w:r>
        <w:t xml:space="preserve">2. im Ausland eine Prüfung bestanden hat, die von einer zuständigen deutschen Stelle als gleichwertig mit einer Prüfung nach Nr. 1 anerkannt wurde.</w:t>
      </w:r>
    </w:p>
    <w:p>
      <w:r>
        <w:t xml:space="preserve">(2) Auf die öffentliche Bestellung finden die §§ 3, 5 Abs. 3 und 4 sowie die §§ 7 bis 10 GDolmG in der am 1. Januar 2023 geltenden Fassung entsprechende Anwendung. Dabei tritt in § 10 Abs. 2 Satz 1 GDolmG an die Stelle des Bezirks eines anderen Oberlandesgerichts der Bezirk eines anderen Landgerichts.</w:t>
      </w:r>
    </w:p>
    <w:p>
      <w:r>
        <w:t xml:space="preserve">(3) Die öffentliche Bestellung wird mit Aushändigung der Urkunde wirksam. Sie endet unbeschadet des Abs. 2, wenn die allgemeine Beeidigung als gerichtlicher Dolmetscher endet.</w:t>
      </w:r>
    </w:p>
    <w:p>
      <w:r>
        <w:t xml:space="preserve">(4) Die Bezeichnung „öffentlich bestellter Dolmetscher für … [Angabe der Sprache, für die er beeidigt ist]“ oder die Bezeichnung „öffentlich bestellte Dolmetscherin für … [Angabe der Sprache, für die sie beeidigt ist]“ darf neben oder anstelle der Bezeichnung nach § 6 GDolmG in der am 1. Januar 2023 geltenden Fassung führen, wer nach Abs. 1 öffentlich bestellt ist.</w:t>
      </w:r>
    </w:p>
    <w:p>
      <w:r>
        <w:rPr>
          <w:color w:val="555555"/>
          <w:sz w:val="17"/>
        </w:rPr>
        <w:t xml:space="preserve">Zitiervorschlag: Art 58 AGGVG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https://recht.nulegal.eu/gesetze/AGGVG/58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