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49 AGGVG (Bayern) — Ausführung des § 380 der Strafprozeßordnung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Vornahme des Sühneversuchs in Privatklageverfahren wird den Gemeinden übertragen.</w:t>
      </w:r>
    </w:p>
    <w:p>
      <w:r>
        <w:t xml:space="preserve">(2) Der Sühneversuch entfällt, wenn die Parteien nicht in derselben Gemeinde wohnen.</w:t>
      </w:r>
    </w:p>
    <w:p>
      <w:r>
        <w:t xml:space="preserve">(3) Das Staatsministerium des Innern, für Sport und Integration wird ermächtigt, im Einvernehmen mit dem Staatsministerium durch Rechtsverordnung die erforderlichen Durchführungsvorschriften zu erlassen.</w:t>
      </w:r>
    </w:p>
    <w:p>
      <w:r>
        <w:rPr>
          <w:color w:val="555555"/>
          <w:sz w:val="17"/>
        </w:rPr>
        <w:t xml:space="preserve">Zitiervorschlag: Art 49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