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AGGVG (Bayern) — Ehrenamtliche Richter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ehrenamtlichen Richter im Sinn des Gesetzes über das gerichtliche Verfahren in Landwirtschaftssachen werden auf Grund von Vorschlagslisten für die Amtsgerichte und die Oberlandesgerichte von den Präsidenten der Oberlandesgerichte, ernannt.</w:t>
      </w:r>
    </w:p>
    <w:p>
      <w:r>
        <w:t xml:space="preserve">(2) Die Präsidenten bestimmen für die Gerichte ihres Geschäftsbereichs die erforderliche Zahl der ehrenamtlichen Richter.</w:t>
      </w:r>
    </w:p>
    <w:p>
      <w:r>
        <w:rPr>
          <w:color w:val="555555"/>
          <w:sz w:val="17"/>
        </w:rPr>
        <w:t xml:space="preserve">Zitiervorschlag: Art 44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